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79E" w:rsidRPr="00A52D86" w:rsidRDefault="00C0379E" w:rsidP="00F40BC3">
      <w:pPr>
        <w:keepNext/>
        <w:tabs>
          <w:tab w:val="left" w:pos="7655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kern w:val="28"/>
          <w:sz w:val="24"/>
          <w:szCs w:val="24"/>
        </w:rPr>
      </w:pPr>
      <w:r w:rsidRPr="00A52D86">
        <w:rPr>
          <w:rFonts w:ascii="Verdana" w:eastAsia="Times New Roman" w:hAnsi="Verdana" w:cs="Arial"/>
          <w:b/>
          <w:kern w:val="28"/>
          <w:sz w:val="24"/>
          <w:szCs w:val="24"/>
        </w:rPr>
        <w:t>HIRDETMÉNY</w:t>
      </w:r>
    </w:p>
    <w:p w:rsidR="00C0379E" w:rsidRPr="00EB5A74" w:rsidRDefault="00C0379E" w:rsidP="00212CFE">
      <w:pPr>
        <w:widowControl w:val="0"/>
        <w:spacing w:before="60" w:after="0" w:line="240" w:lineRule="auto"/>
        <w:jc w:val="center"/>
        <w:rPr>
          <w:rFonts w:ascii="Verdana" w:eastAsia="Arial Unicode MS" w:hAnsi="Verdana" w:cs="Latha"/>
          <w:b/>
          <w:sz w:val="17"/>
          <w:szCs w:val="17"/>
        </w:rPr>
      </w:pPr>
    </w:p>
    <w:p w:rsidR="00C0379E" w:rsidRPr="00B22BDD" w:rsidRDefault="00C0379E" w:rsidP="008454EA">
      <w:pPr>
        <w:widowControl w:val="0"/>
        <w:spacing w:before="60" w:after="0" w:line="240" w:lineRule="auto"/>
        <w:jc w:val="both"/>
        <w:rPr>
          <w:rFonts w:ascii="Verdana" w:eastAsia="Arial Unicode MS" w:hAnsi="Verdana" w:cs="Latha"/>
          <w:sz w:val="17"/>
          <w:szCs w:val="17"/>
        </w:rPr>
      </w:pPr>
      <w:r w:rsidRPr="00EB5A74">
        <w:rPr>
          <w:rFonts w:ascii="Verdana" w:eastAsia="Arial Unicode MS" w:hAnsi="Verdana" w:cs="Latha"/>
          <w:sz w:val="17"/>
          <w:szCs w:val="17"/>
        </w:rPr>
        <w:t xml:space="preserve">A </w:t>
      </w:r>
      <w:proofErr w:type="spellStart"/>
      <w:r w:rsidRPr="00EB5A74">
        <w:rPr>
          <w:rFonts w:ascii="Verdana" w:eastAsia="Arial Unicode MS" w:hAnsi="Verdana" w:cs="Latha"/>
          <w:b/>
          <w:sz w:val="17"/>
          <w:szCs w:val="17"/>
        </w:rPr>
        <w:t>Cofidis</w:t>
      </w:r>
      <w:proofErr w:type="spellEnd"/>
      <w:r w:rsidRPr="00EB5A74">
        <w:rPr>
          <w:rFonts w:ascii="Verdana" w:eastAsia="Arial Unicode MS" w:hAnsi="Verdana" w:cs="Latha"/>
          <w:b/>
          <w:sz w:val="17"/>
          <w:szCs w:val="17"/>
        </w:rPr>
        <w:t xml:space="preserve"> Magyarországi Fióktelepe</w:t>
      </w:r>
      <w:r w:rsidRPr="00EB5A74">
        <w:rPr>
          <w:rFonts w:ascii="Verdana" w:eastAsia="Arial Unicode MS" w:hAnsi="Verdana" w:cs="Latha"/>
          <w:sz w:val="17"/>
          <w:szCs w:val="17"/>
        </w:rPr>
        <w:t xml:space="preserve"> által </w:t>
      </w:r>
      <w:r w:rsidRPr="00DE1B66">
        <w:rPr>
          <w:rFonts w:ascii="Verdana" w:eastAsia="Arial Unicode MS" w:hAnsi="Verdana" w:cs="Latha"/>
          <w:sz w:val="17"/>
          <w:szCs w:val="17"/>
        </w:rPr>
        <w:t xml:space="preserve">nyújtott </w:t>
      </w:r>
      <w:r w:rsidRPr="004D711B">
        <w:rPr>
          <w:rFonts w:ascii="Verdana" w:eastAsia="Arial Unicode MS" w:hAnsi="Verdana" w:cs="Latha"/>
          <w:noProof/>
          <w:sz w:val="17"/>
          <w:szCs w:val="17"/>
        </w:rPr>
        <w:t>Áruhitel</w:t>
      </w:r>
      <w:r w:rsidRPr="00DE1B66">
        <w:rPr>
          <w:rFonts w:ascii="Verdana" w:eastAsia="Arial Unicode MS" w:hAnsi="Verdana" w:cs="Latha"/>
          <w:sz w:val="17"/>
          <w:szCs w:val="17"/>
        </w:rPr>
        <w:t xml:space="preserve"> igénylésének</w:t>
      </w:r>
      <w:r w:rsidRPr="00EB5A74">
        <w:rPr>
          <w:rFonts w:ascii="Verdana" w:eastAsia="Arial Unicode MS" w:hAnsi="Verdana" w:cs="Latha"/>
          <w:sz w:val="17"/>
          <w:szCs w:val="17"/>
        </w:rPr>
        <w:t xml:space="preserve"> feltételei </w:t>
      </w:r>
      <w:proofErr w:type="gramStart"/>
      <w:r w:rsidRPr="00EB5A74">
        <w:rPr>
          <w:rFonts w:ascii="Verdana" w:eastAsia="Arial Unicode MS" w:hAnsi="Verdana" w:cs="Latha"/>
          <w:sz w:val="17"/>
          <w:szCs w:val="17"/>
        </w:rPr>
        <w:t>a(</w:t>
      </w:r>
      <w:proofErr w:type="gramEnd"/>
      <w:r w:rsidRPr="00EB5A74">
        <w:rPr>
          <w:rFonts w:ascii="Verdana" w:eastAsia="Arial Unicode MS" w:hAnsi="Verdana" w:cs="Latha"/>
          <w:sz w:val="17"/>
          <w:szCs w:val="17"/>
        </w:rPr>
        <w:t xml:space="preserve">z) </w:t>
      </w:r>
      <w:r w:rsidR="00B22BDD">
        <w:rPr>
          <w:rFonts w:ascii="Verdana" w:eastAsia="Arial Unicode MS" w:hAnsi="Verdana" w:cs="Latha"/>
          <w:b/>
          <w:noProof/>
          <w:sz w:val="17"/>
          <w:szCs w:val="17"/>
        </w:rPr>
        <w:t xml:space="preserve">NÉKE-HELLEBORUS Bt. </w:t>
      </w:r>
      <w:r w:rsidRPr="00EB5A74">
        <w:rPr>
          <w:rFonts w:ascii="Verdana" w:eastAsia="Arial Unicode MS" w:hAnsi="Verdana" w:cs="Latha"/>
          <w:sz w:val="17"/>
          <w:szCs w:val="17"/>
        </w:rPr>
        <w:t xml:space="preserve">üzleteiben, </w:t>
      </w:r>
      <w:r w:rsidRPr="00B22BDD">
        <w:rPr>
          <w:rFonts w:ascii="Verdana" w:eastAsia="Arial Unicode MS" w:hAnsi="Verdana" w:cs="Latha"/>
          <w:sz w:val="17"/>
          <w:szCs w:val="17"/>
        </w:rPr>
        <w:t>(….termék/termékkör megnevezése, ha van korlátozás az elérésben)</w:t>
      </w:r>
    </w:p>
    <w:p w:rsidR="00C0379E" w:rsidRPr="00B22BDD" w:rsidRDefault="00C0379E" w:rsidP="00212CFE">
      <w:pPr>
        <w:widowControl w:val="0"/>
        <w:spacing w:after="0" w:line="240" w:lineRule="auto"/>
        <w:rPr>
          <w:rFonts w:ascii="Verdana" w:eastAsia="Arial Unicode MS" w:hAnsi="Verdana" w:cs="Latha"/>
          <w:sz w:val="17"/>
          <w:szCs w:val="17"/>
        </w:rPr>
      </w:pPr>
    </w:p>
    <w:p w:rsidR="00C0379E" w:rsidRPr="00B22BDD" w:rsidRDefault="00C0379E" w:rsidP="00212CFE">
      <w:pPr>
        <w:widowControl w:val="0"/>
        <w:spacing w:after="0" w:line="240" w:lineRule="auto"/>
        <w:rPr>
          <w:rFonts w:ascii="Verdana" w:eastAsia="Arial Unicode MS" w:hAnsi="Verdana" w:cs="Latha"/>
          <w:sz w:val="17"/>
          <w:szCs w:val="17"/>
        </w:rPr>
      </w:pPr>
    </w:p>
    <w:tbl>
      <w:tblPr>
        <w:tblW w:w="1105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080"/>
      </w:tblGrid>
      <w:tr w:rsidR="00C0379E" w:rsidRPr="00B22BDD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B22BDD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B22BDD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Hitel célja: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B22BDD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B22BDD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Tartós fogyasztási cikkek vagy szolgáltatások vásárlása magánszemélyek részére</w:t>
            </w:r>
          </w:p>
        </w:tc>
      </w:tr>
      <w:tr w:rsidR="00C0379E" w:rsidRPr="00B22BDD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B22BDD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B22BDD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Konstrukció kód: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B22BDD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b/>
                <w:color w:val="000000"/>
                <w:sz w:val="17"/>
                <w:szCs w:val="17"/>
                <w:lang w:eastAsia="hu-HU"/>
              </w:rPr>
            </w:pPr>
            <w:r w:rsidRPr="00B22BDD">
              <w:rPr>
                <w:rFonts w:ascii="Verdana" w:eastAsia="Times New Roman" w:hAnsi="Verdana" w:cs="Calibri"/>
                <w:b/>
                <w:noProof/>
                <w:color w:val="000000"/>
                <w:sz w:val="17"/>
                <w:szCs w:val="17"/>
                <w:lang w:eastAsia="hu-HU"/>
              </w:rPr>
              <w:t>PRF3199</w:t>
            </w:r>
          </w:p>
        </w:tc>
      </w:tr>
      <w:tr w:rsidR="00C0379E" w:rsidRPr="00B22BDD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B22BDD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B22BDD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Konstrukció neve: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B22BDD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B22BDD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Promóciós flat 31,99%</w:t>
            </w:r>
          </w:p>
        </w:tc>
      </w:tr>
      <w:tr w:rsidR="00C0379E" w:rsidRPr="00EB5A74" w:rsidTr="002B669C">
        <w:trPr>
          <w:trHeight w:val="14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B22BDD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B22BDD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Érvényes: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B22BDD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B22BDD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2018. július 1. - visszavonásig</w:t>
            </w:r>
          </w:p>
        </w:tc>
      </w:tr>
      <w:tr w:rsidR="00C0379E" w:rsidRPr="00EB5A74" w:rsidTr="002B669C">
        <w:trPr>
          <w:trHeight w:val="1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EB5A74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EB5A74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C0379E" w:rsidRPr="00DE1B66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Hitel összege: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Minimum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30 000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Ft, maximum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1 500 000</w:t>
            </w:r>
            <w:r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Ft.</w:t>
            </w:r>
          </w:p>
        </w:tc>
      </w:tr>
      <w:tr w:rsidR="00C0379E" w:rsidRPr="00DE1B66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Futamidő: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6, 10, 12, 18, 24, 36, 48, 60</w:t>
            </w:r>
            <w:r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hónap</w:t>
            </w:r>
          </w:p>
        </w:tc>
      </w:tr>
      <w:tr w:rsidR="00C0379E" w:rsidRPr="00DE1B66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Önrész: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400 000 Ft vételár felett legalább a vételár 20%-a</w:t>
            </w:r>
          </w:p>
        </w:tc>
      </w:tr>
      <w:tr w:rsidR="00C0379E" w:rsidRPr="00DE1B66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Kamat: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Évi fix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31,99</w:t>
            </w:r>
            <w:r w:rsidR="008973C5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%</w:t>
            </w:r>
          </w:p>
        </w:tc>
      </w:tr>
      <w:tr w:rsidR="00C0379E" w:rsidRPr="00DE1B66" w:rsidTr="002B669C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Kezelési díj: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0%</w:t>
            </w:r>
          </w:p>
        </w:tc>
      </w:tr>
      <w:tr w:rsidR="00C0379E" w:rsidRPr="00DE1B66" w:rsidTr="002B669C">
        <w:trPr>
          <w:cantSplit/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Kamatszámítás módja: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Arial Unicode MS" w:hAnsi="Verdana" w:cs="Latha"/>
                <w:sz w:val="17"/>
                <w:szCs w:val="17"/>
              </w:rPr>
              <w:t xml:space="preserve">tőke x kamatláb x </w:t>
            </w:r>
            <m:oMath>
              <m:f>
                <m:fPr>
                  <m:ctrl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pacing w:val="-3"/>
                      <w:sz w:val="17"/>
                      <w:szCs w:val="17"/>
                    </w:rPr>
                    <m:t>12</m:t>
                  </m:r>
                </m:den>
              </m:f>
            </m:oMath>
          </w:p>
        </w:tc>
      </w:tr>
      <w:tr w:rsidR="00C0379E" w:rsidRPr="00DE1B66" w:rsidTr="002B669C">
        <w:trPr>
          <w:trHeight w:val="39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Első </w:t>
            </w:r>
            <w:proofErr w:type="spellStart"/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törlesztőrészlet</w:t>
            </w:r>
            <w:proofErr w:type="spellEnd"/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esedékessége: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A folyósítást követő hónap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10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. napján esedékes az ÁSZF szerint.</w:t>
            </w:r>
          </w:p>
        </w:tc>
      </w:tr>
      <w:tr w:rsidR="00C0379E" w:rsidRPr="00DE1B66" w:rsidTr="002B669C">
        <w:trPr>
          <w:trHeight w:val="27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Havi törlesztő részlet összege: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379E" w:rsidRPr="00DE1B66" w:rsidRDefault="00C0379E" w:rsidP="002B669C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Minimum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2 918</w:t>
            </w:r>
            <w:r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Ft, maximum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272 943</w:t>
            </w:r>
            <w:r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Ft.</w:t>
            </w:r>
          </w:p>
        </w:tc>
      </w:tr>
      <w:tr w:rsidR="00C0379E" w:rsidRPr="00DE1B66" w:rsidTr="00AD4C14">
        <w:trPr>
          <w:trHeight w:val="16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79E" w:rsidRPr="00DE1B66" w:rsidRDefault="00C0379E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79E" w:rsidRPr="00DE1B66" w:rsidRDefault="00C0379E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C0379E" w:rsidRPr="007E3A80" w:rsidTr="00F379A4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79E" w:rsidRPr="007E3A80" w:rsidRDefault="00C0379E" w:rsidP="00F379A4">
            <w:pPr>
              <w:spacing w:after="0" w:line="240" w:lineRule="auto"/>
              <w:rPr>
                <w:rFonts w:ascii="Verdana" w:eastAsia="Times New Roman" w:hAnsi="Verdana" w:cs="Calibri"/>
                <w:i/>
                <w:color w:val="000000"/>
                <w:sz w:val="17"/>
                <w:szCs w:val="17"/>
                <w:lang w:eastAsia="hu-HU"/>
              </w:rPr>
            </w:pPr>
            <w:r w:rsidRPr="007E3A80">
              <w:rPr>
                <w:rFonts w:ascii="Verdana" w:eastAsia="Times New Roman" w:hAnsi="Verdana" w:cs="Calibri"/>
                <w:i/>
                <w:color w:val="000000"/>
                <w:sz w:val="17"/>
                <w:szCs w:val="17"/>
                <w:lang w:eastAsia="hu-HU"/>
              </w:rPr>
              <w:t>Egyéb díjak, költségek:</w:t>
            </w:r>
          </w:p>
        </w:tc>
      </w:tr>
      <w:tr w:rsidR="00C0379E" w:rsidRPr="00DE1B66" w:rsidTr="00AD4C14">
        <w:trPr>
          <w:trHeight w:val="63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79E" w:rsidRPr="00DE1B66" w:rsidRDefault="00C0379E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proofErr w:type="spellStart"/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Törlesztőrészlet</w:t>
            </w:r>
            <w:proofErr w:type="spellEnd"/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 xml:space="preserve"> fizetési módja: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79E" w:rsidRPr="00DE1B66" w:rsidRDefault="00C0379E" w:rsidP="00F379A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Csoportos beszedés, átutalás; csekkes (postai készpénzátutalási megbízás) és készpénzes befizetés esetén a havi törlesztőrészleten felül +400 Ft külön szolgáltatási díj kerül felszámításra</w:t>
            </w:r>
          </w:p>
        </w:tc>
      </w:tr>
      <w:tr w:rsidR="00C0379E" w:rsidRPr="00DE1B66" w:rsidTr="00AD4C14">
        <w:trPr>
          <w:trHeight w:val="12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79E" w:rsidRPr="00DE1B66" w:rsidRDefault="00C0379E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Adósságkezelési díj: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79E" w:rsidRDefault="00C0379E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a.) 500 Ft, amennyiben Ön a kölcsönszerződés alapján fennálló bármely fizetési kötelezettségével késedelembe esik;</w:t>
            </w:r>
          </w:p>
          <w:p w:rsidR="00C0379E" w:rsidRDefault="00C0379E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b.) további 2 500 Ft, amennyiben a késedelem még a tárgyhónap utolsó napján is fennáll;</w:t>
            </w:r>
          </w:p>
          <w:p w:rsidR="00C0379E" w:rsidRPr="00DE1B66" w:rsidRDefault="00C0379E" w:rsidP="00F379A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c.) további 3 500 Ft, amennyiben a késedelem még a tárgyhónapot követő hónap utolsó napján is fennáll, illetve havonta mindaddig ez az összeg kerül ismét felszámításra, ameddig késedelmes tartozását nem rendezi.</w:t>
            </w:r>
          </w:p>
        </w:tc>
      </w:tr>
      <w:tr w:rsidR="00C0379E" w:rsidRPr="00DE1B66" w:rsidTr="00C00A79">
        <w:trPr>
          <w:trHeight w:val="53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79E" w:rsidRPr="00DE1B66" w:rsidRDefault="00C0379E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79E" w:rsidRPr="00DE1B66" w:rsidRDefault="00C0379E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Az adósságkezelési díjat a COFIDIS jogosult ismételten felszámítani, amennyiben a futamidő alatt, hátralékos tartozásának visszafizetését követően, ismételten késedelembe esik.</w:t>
            </w:r>
          </w:p>
        </w:tc>
      </w:tr>
      <w:tr w:rsidR="00C0379E" w:rsidRPr="00DE1B66" w:rsidTr="00AD4C14">
        <w:trPr>
          <w:trHeight w:val="300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79E" w:rsidRPr="00DE1B66" w:rsidRDefault="00C0379E" w:rsidP="0013669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 xml:space="preserve">A szerződéssel kapcsolatos díjakat és költségeket a mindenkor aktuális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ÁRUHITEL</w:t>
            </w:r>
            <w:r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 xml:space="preserve"> </w:t>
            </w: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ÁLTALÁNOS SZERZŐDÉSI FELTÉTELEI, valamint a Hirdetmény tartalmazza.</w:t>
            </w:r>
          </w:p>
        </w:tc>
      </w:tr>
      <w:tr w:rsidR="00C0379E" w:rsidRPr="00DE1B66" w:rsidTr="00511647">
        <w:trPr>
          <w:trHeight w:val="141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79E" w:rsidRPr="00511647" w:rsidRDefault="00C0379E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2"/>
                <w:szCs w:val="12"/>
                <w:lang w:eastAsia="hu-H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79E" w:rsidRPr="00DE1B66" w:rsidRDefault="00C0379E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</w:p>
        </w:tc>
      </w:tr>
      <w:tr w:rsidR="00C0379E" w:rsidRPr="00DE1B66" w:rsidTr="00AD4C14">
        <w:trPr>
          <w:trHeight w:val="183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379E" w:rsidRPr="00DE1B66" w:rsidRDefault="00C0379E" w:rsidP="00AD4C14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  <w:t>Teljes hiteldíj mutató: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379E" w:rsidRPr="00DE1B66" w:rsidRDefault="00C0379E" w:rsidP="00136698">
            <w:pPr>
              <w:spacing w:after="0" w:line="240" w:lineRule="auto"/>
              <w:jc w:val="both"/>
              <w:rPr>
                <w:rFonts w:ascii="Verdana" w:eastAsia="Times New Roman" w:hAnsi="Verdana" w:cs="Calibri"/>
                <w:color w:val="000000"/>
                <w:sz w:val="17"/>
                <w:szCs w:val="17"/>
                <w:lang w:eastAsia="hu-HU"/>
              </w:rPr>
            </w:pP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 xml:space="preserve">Reprezentatív példa Cofidis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Áruhitel</w:t>
            </w: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 xml:space="preserve"> igénylése esetén: </w:t>
            </w:r>
            <w:r w:rsidRPr="004D711B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>1 500 000 Ft hitelösszeg esetén (termék/szolgáltatás készpénzára: 1 875 000 Ft, önrész: 375 000 Ft) a havi törlesztőrészlet: 47 158 Ft, referencia THM: 31,99%, futamidő: 60 hónap, hitelkamat(fix): évi 31,99%, teljes visszafizetendő összeg: 2 829 480 Ft, a hitel teljes díja (kamat): 1 329 480 Ft (a hitel teljes díjában foglalt díj: 0 Ft; jutalék: 0 Ft; költség: 0 Ft; adó: 0 Ft).</w:t>
            </w: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lang w:eastAsia="hu-HU"/>
              </w:rPr>
              <w:t xml:space="preserve"> A referencia THM az itt megjelölt hitelösszeg és futamidő figyelembevételével került meghatározásra, a teljes hiteldíj mutató meghatározásáról, számításáról és közzétételéről szóló 83/2010. (III.25.) Korm.rend. 9. § (1) bekezdés e) pontja és 9.§ (3) bekezdése alapján</w:t>
            </w:r>
            <w:r w:rsidRPr="00DE1B66">
              <w:rPr>
                <w:rFonts w:ascii="Verdana" w:eastAsia="Times New Roman" w:hAnsi="Verdana" w:cs="Calibri"/>
                <w:noProof/>
                <w:color w:val="000000"/>
                <w:sz w:val="17"/>
                <w:szCs w:val="17"/>
                <w:vertAlign w:val="superscript"/>
                <w:lang w:eastAsia="hu-HU"/>
              </w:rPr>
              <w:t>[1]</w:t>
            </w:r>
          </w:p>
        </w:tc>
      </w:tr>
    </w:tbl>
    <w:p w:rsidR="00C0379E" w:rsidRPr="00DE1B66" w:rsidRDefault="00C0379E" w:rsidP="00740593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059"/>
        <w:gridCol w:w="2107"/>
        <w:gridCol w:w="2126"/>
        <w:gridCol w:w="1559"/>
      </w:tblGrid>
      <w:tr w:rsidR="00C0379E" w:rsidRPr="00885E79" w:rsidTr="008973C5">
        <w:trPr>
          <w:trHeight w:val="259"/>
          <w:jc w:val="center"/>
        </w:trPr>
        <w:tc>
          <w:tcPr>
            <w:tcW w:w="1059" w:type="dxa"/>
            <w:noWrap/>
            <w:vAlign w:val="center"/>
            <w:hideMark/>
          </w:tcPr>
          <w:p w:rsidR="00C0379E" w:rsidRPr="00885E79" w:rsidRDefault="00C0379E" w:rsidP="008973C5">
            <w:pPr>
              <w:widowControl w:val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85E79">
              <w:rPr>
                <w:rFonts w:ascii="Verdana" w:eastAsia="Times New Roman" w:hAnsi="Verdana" w:cs="Times New Roman"/>
                <w:sz w:val="18"/>
                <w:szCs w:val="18"/>
              </w:rPr>
              <w:t>Futamidő</w:t>
            </w:r>
          </w:p>
        </w:tc>
        <w:tc>
          <w:tcPr>
            <w:tcW w:w="2107" w:type="dxa"/>
            <w:noWrap/>
            <w:vAlign w:val="center"/>
            <w:hideMark/>
          </w:tcPr>
          <w:p w:rsidR="00C0379E" w:rsidRPr="00885E79" w:rsidRDefault="00C0379E" w:rsidP="008973C5">
            <w:pPr>
              <w:widowControl w:val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85E79">
              <w:rPr>
                <w:rFonts w:ascii="Verdana" w:eastAsia="Times New Roman" w:hAnsi="Verdana" w:cs="Times New Roman"/>
                <w:sz w:val="18"/>
                <w:szCs w:val="18"/>
              </w:rPr>
              <w:t>Minimum hitelösszeg</w:t>
            </w:r>
          </w:p>
        </w:tc>
        <w:tc>
          <w:tcPr>
            <w:tcW w:w="2126" w:type="dxa"/>
            <w:noWrap/>
            <w:vAlign w:val="center"/>
            <w:hideMark/>
          </w:tcPr>
          <w:p w:rsidR="00C0379E" w:rsidRPr="00885E79" w:rsidRDefault="00C0379E" w:rsidP="008973C5">
            <w:pPr>
              <w:widowControl w:val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85E79">
              <w:rPr>
                <w:rFonts w:ascii="Verdana" w:eastAsia="Times New Roman" w:hAnsi="Verdana" w:cs="Times New Roman"/>
                <w:sz w:val="18"/>
                <w:szCs w:val="18"/>
              </w:rPr>
              <w:t>Maximum hitelösszeg</w:t>
            </w:r>
          </w:p>
        </w:tc>
        <w:tc>
          <w:tcPr>
            <w:tcW w:w="1559" w:type="dxa"/>
            <w:noWrap/>
            <w:vAlign w:val="center"/>
            <w:hideMark/>
          </w:tcPr>
          <w:p w:rsidR="00C0379E" w:rsidRPr="00885E79" w:rsidRDefault="00C0379E" w:rsidP="008973C5">
            <w:pPr>
              <w:widowControl w:val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Kamat/THM</w:t>
            </w:r>
          </w:p>
        </w:tc>
      </w:tr>
      <w:tr w:rsidR="008973C5" w:rsidRPr="008973C5" w:rsidTr="008973C5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6</w:t>
            </w:r>
          </w:p>
        </w:tc>
        <w:tc>
          <w:tcPr>
            <w:tcW w:w="2107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31.99%</w:t>
            </w:r>
          </w:p>
        </w:tc>
      </w:tr>
      <w:tr w:rsidR="008973C5" w:rsidRPr="008973C5" w:rsidTr="008973C5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10</w:t>
            </w:r>
          </w:p>
        </w:tc>
        <w:tc>
          <w:tcPr>
            <w:tcW w:w="2107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31.99%</w:t>
            </w:r>
          </w:p>
        </w:tc>
      </w:tr>
      <w:tr w:rsidR="008973C5" w:rsidRPr="008973C5" w:rsidTr="008973C5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12</w:t>
            </w:r>
          </w:p>
        </w:tc>
        <w:tc>
          <w:tcPr>
            <w:tcW w:w="2107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31.99%</w:t>
            </w:r>
          </w:p>
        </w:tc>
      </w:tr>
      <w:tr w:rsidR="008973C5" w:rsidRPr="008973C5" w:rsidTr="008973C5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18</w:t>
            </w:r>
          </w:p>
        </w:tc>
        <w:tc>
          <w:tcPr>
            <w:tcW w:w="2107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50,000.00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31.99%</w:t>
            </w:r>
          </w:p>
        </w:tc>
      </w:tr>
      <w:tr w:rsidR="008973C5" w:rsidRPr="008973C5" w:rsidTr="008973C5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24</w:t>
            </w:r>
          </w:p>
        </w:tc>
        <w:tc>
          <w:tcPr>
            <w:tcW w:w="2107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100,000.00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31.99%</w:t>
            </w:r>
          </w:p>
        </w:tc>
      </w:tr>
      <w:tr w:rsidR="008973C5" w:rsidRPr="008973C5" w:rsidTr="008973C5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36</w:t>
            </w:r>
          </w:p>
        </w:tc>
        <w:tc>
          <w:tcPr>
            <w:tcW w:w="2107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100,000.00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31.99%</w:t>
            </w:r>
          </w:p>
        </w:tc>
      </w:tr>
      <w:tr w:rsidR="008973C5" w:rsidRPr="008973C5" w:rsidTr="008973C5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48</w:t>
            </w:r>
          </w:p>
        </w:tc>
        <w:tc>
          <w:tcPr>
            <w:tcW w:w="2107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150,000.00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31.99%</w:t>
            </w:r>
          </w:p>
        </w:tc>
      </w:tr>
      <w:tr w:rsidR="008973C5" w:rsidRPr="008973C5" w:rsidTr="008973C5">
        <w:tblPrEx>
          <w:jc w:val="left"/>
        </w:tblPrEx>
        <w:trPr>
          <w:trHeight w:val="300"/>
        </w:trPr>
        <w:tc>
          <w:tcPr>
            <w:tcW w:w="10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60</w:t>
            </w:r>
          </w:p>
        </w:tc>
        <w:tc>
          <w:tcPr>
            <w:tcW w:w="2107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150,000.00</w:t>
            </w:r>
          </w:p>
        </w:tc>
        <w:tc>
          <w:tcPr>
            <w:tcW w:w="2126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1,500,000.00</w:t>
            </w:r>
          </w:p>
        </w:tc>
        <w:tc>
          <w:tcPr>
            <w:tcW w:w="1559" w:type="dxa"/>
            <w:noWrap/>
            <w:vAlign w:val="center"/>
            <w:hideMark/>
          </w:tcPr>
          <w:p w:rsidR="008973C5" w:rsidRPr="008973C5" w:rsidRDefault="008973C5" w:rsidP="008973C5">
            <w:pPr>
              <w:jc w:val="center"/>
              <w:rPr>
                <w:rFonts w:ascii="Calibri" w:eastAsia="Times New Roman" w:hAnsi="Calibri" w:cs="Times New Roman"/>
                <w:lang w:eastAsia="hu-HU"/>
              </w:rPr>
            </w:pPr>
            <w:r w:rsidRPr="008973C5">
              <w:rPr>
                <w:rFonts w:ascii="Calibri" w:eastAsia="Times New Roman" w:hAnsi="Calibri" w:cs="Times New Roman"/>
                <w:lang w:eastAsia="hu-HU"/>
              </w:rPr>
              <w:t>31.99%</w:t>
            </w:r>
          </w:p>
        </w:tc>
      </w:tr>
    </w:tbl>
    <w:p w:rsidR="00C0379E" w:rsidRDefault="00C0379E" w:rsidP="007C2E01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C0379E" w:rsidRPr="00EB5A74" w:rsidRDefault="00C0379E" w:rsidP="007C2E01">
      <w:pPr>
        <w:widowControl w:val="0"/>
        <w:spacing w:after="0" w:line="240" w:lineRule="auto"/>
        <w:jc w:val="both"/>
        <w:rPr>
          <w:rFonts w:ascii="Verdana" w:eastAsia="Times New Roman" w:hAnsi="Verdana" w:cs="Garamond"/>
          <w:sz w:val="17"/>
          <w:szCs w:val="17"/>
        </w:rPr>
      </w:pPr>
      <w:r w:rsidRPr="00EB5A74">
        <w:rPr>
          <w:rFonts w:ascii="Verdana" w:eastAsia="Times New Roman" w:hAnsi="Verdana" w:cs="Times New Roman"/>
          <w:sz w:val="17"/>
          <w:szCs w:val="17"/>
        </w:rPr>
        <w:lastRenderedPageBreak/>
        <w:t xml:space="preserve">A hitel jóváhagyása az alább felsorolt feltételek és dokumentumok alapján, a </w:t>
      </w:r>
      <w:proofErr w:type="spellStart"/>
      <w:r w:rsidRPr="00E31699">
        <w:rPr>
          <w:rFonts w:ascii="Verdana" w:eastAsia="Times New Roman" w:hAnsi="Verdana" w:cs="Times New Roman"/>
          <w:sz w:val="17"/>
          <w:szCs w:val="17"/>
        </w:rPr>
        <w:t>Cofidis</w:t>
      </w:r>
      <w:proofErr w:type="spellEnd"/>
      <w:r w:rsidRPr="00E31699">
        <w:rPr>
          <w:rFonts w:ascii="Verdana" w:eastAsia="Times New Roman" w:hAnsi="Verdana" w:cs="Times New Roman"/>
          <w:sz w:val="17"/>
          <w:szCs w:val="17"/>
        </w:rPr>
        <w:t xml:space="preserve"> által elvégzett hitelbírálat útján történik. A </w:t>
      </w:r>
      <w:proofErr w:type="spellStart"/>
      <w:r w:rsidRPr="00E31699">
        <w:rPr>
          <w:rFonts w:ascii="Verdana" w:eastAsia="Times New Roman" w:hAnsi="Verdana" w:cs="Times New Roman"/>
          <w:sz w:val="17"/>
          <w:szCs w:val="17"/>
        </w:rPr>
        <w:t>Cofidis</w:t>
      </w:r>
      <w:proofErr w:type="spellEnd"/>
      <w:r w:rsidRPr="00E31699">
        <w:rPr>
          <w:rFonts w:ascii="Verdana" w:eastAsia="Times New Roman" w:hAnsi="Verdana" w:cs="Times New Roman"/>
          <w:sz w:val="17"/>
          <w:szCs w:val="17"/>
        </w:rPr>
        <w:t xml:space="preserve"> a hitelbírálat eredményéről az ügyfelet haladéktalanul tájékoztatja</w:t>
      </w:r>
      <w:r w:rsidRPr="00EB5A74">
        <w:rPr>
          <w:rFonts w:ascii="Verdana" w:eastAsia="Times New Roman" w:hAnsi="Verdana" w:cs="Times New Roman"/>
          <w:sz w:val="17"/>
          <w:szCs w:val="17"/>
        </w:rPr>
        <w:t xml:space="preserve">. </w:t>
      </w:r>
      <w:r w:rsidRPr="00EB5A74">
        <w:rPr>
          <w:rFonts w:ascii="Verdana" w:eastAsia="Times New Roman" w:hAnsi="Verdana" w:cs="Garamond"/>
          <w:sz w:val="17"/>
          <w:szCs w:val="17"/>
        </w:rPr>
        <w:t xml:space="preserve">A </w:t>
      </w:r>
      <w:proofErr w:type="spellStart"/>
      <w:r w:rsidRPr="00EB5A74">
        <w:rPr>
          <w:rFonts w:ascii="Verdana" w:eastAsia="Times New Roman" w:hAnsi="Verdana" w:cs="Garamond"/>
          <w:sz w:val="17"/>
          <w:szCs w:val="17"/>
        </w:rPr>
        <w:t>Cofidis</w:t>
      </w:r>
      <w:proofErr w:type="spellEnd"/>
      <w:r w:rsidRPr="00EB5A74">
        <w:rPr>
          <w:rFonts w:ascii="Verdana" w:eastAsia="Times New Roman" w:hAnsi="Verdana" w:cs="Garamond"/>
          <w:sz w:val="17"/>
          <w:szCs w:val="17"/>
        </w:rPr>
        <w:t xml:space="preserve"> Magyarországi Fióktelepe kifejezetten fenntartja a jogot, hogy a hitelkérelem elbírálása során az ügyfél minősítésétől függően, adóstárs és/vagy önerő bevonását/alkalmazását a kölcsön folyósításának feltételeként előírja azzal, hogy ennek esetleges költségeit az ügyfél viseli.</w:t>
      </w:r>
      <w:r w:rsidRPr="00EB5A74">
        <w:rPr>
          <w:rFonts w:ascii="Verdana" w:eastAsia="Times New Roman" w:hAnsi="Verdana" w:cs="Tahoma"/>
          <w:sz w:val="17"/>
          <w:szCs w:val="17"/>
        </w:rPr>
        <w:t xml:space="preserve"> </w:t>
      </w:r>
    </w:p>
    <w:p w:rsidR="00C0379E" w:rsidRPr="00EB5A74" w:rsidRDefault="00C0379E" w:rsidP="007C2E01">
      <w:pPr>
        <w:widowControl w:val="0"/>
        <w:spacing w:after="0" w:line="240" w:lineRule="auto"/>
        <w:jc w:val="both"/>
        <w:rPr>
          <w:rFonts w:ascii="Verdana" w:eastAsia="Times New Roman" w:hAnsi="Verdana" w:cs="Garamond"/>
          <w:sz w:val="17"/>
          <w:szCs w:val="17"/>
        </w:rPr>
      </w:pPr>
    </w:p>
    <w:p w:rsidR="00C0379E" w:rsidRPr="00AD4C14" w:rsidRDefault="00C0379E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  <w:u w:val="single"/>
        </w:rPr>
      </w:pPr>
      <w:r w:rsidRPr="00AD4C14">
        <w:rPr>
          <w:rFonts w:ascii="Verdana" w:eastAsia="Times New Roman" w:hAnsi="Verdana" w:cs="Times New Roman"/>
          <w:b/>
          <w:sz w:val="17"/>
          <w:szCs w:val="17"/>
          <w:u w:val="single"/>
        </w:rPr>
        <w:t xml:space="preserve"> Az Adós és Adóstárs személyére vonatkozó általános elvárások</w:t>
      </w:r>
      <w:r w:rsidRPr="00AD4C14">
        <w:rPr>
          <w:rFonts w:ascii="Verdana" w:eastAsia="Times New Roman" w:hAnsi="Verdana" w:cs="Times New Roman"/>
          <w:sz w:val="17"/>
          <w:szCs w:val="17"/>
          <w:u w:val="single"/>
        </w:rPr>
        <w:t>:</w:t>
      </w:r>
    </w:p>
    <w:p w:rsidR="00C0379E" w:rsidRPr="00EB5A74" w:rsidRDefault="00C0379E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>18. életévét betöltött</w:t>
      </w:r>
    </w:p>
    <w:p w:rsidR="00C0379E" w:rsidRPr="00EB5A74" w:rsidRDefault="00C0379E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>magyarországi állandó, bejelentett lakcímmel rendelkezik</w:t>
      </w:r>
    </w:p>
    <w:p w:rsidR="00C0379E" w:rsidRPr="00EB5A74" w:rsidRDefault="00C0379E" w:rsidP="00AE7F45">
      <w:pPr>
        <w:numPr>
          <w:ilvl w:val="0"/>
          <w:numId w:val="3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 xml:space="preserve">rendszeres, igazolható jövedelem - min. nettó </w:t>
      </w:r>
      <w:r>
        <w:rPr>
          <w:rFonts w:ascii="Verdana" w:eastAsia="Calibri" w:hAnsi="Verdana" w:cs="Times New Roman"/>
          <w:sz w:val="17"/>
          <w:szCs w:val="17"/>
        </w:rPr>
        <w:t>70</w:t>
      </w:r>
      <w:r w:rsidRPr="00EB5A74">
        <w:rPr>
          <w:rFonts w:ascii="Verdana" w:eastAsia="Calibri" w:hAnsi="Verdana" w:cs="Times New Roman"/>
          <w:sz w:val="17"/>
          <w:szCs w:val="17"/>
        </w:rPr>
        <w:t>.000 Ft</w:t>
      </w:r>
    </w:p>
    <w:p w:rsidR="00C0379E" w:rsidRPr="00EB5A74" w:rsidRDefault="00C0379E" w:rsidP="00AE7F45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 xml:space="preserve">alkalmazott és munkabért kap </w:t>
      </w:r>
      <w:r w:rsidRPr="00B64256">
        <w:rPr>
          <w:rFonts w:ascii="Verdana" w:eastAsia="Calibri" w:hAnsi="Verdana" w:cs="Times New Roman"/>
          <w:sz w:val="16"/>
          <w:szCs w:val="16"/>
        </w:rPr>
        <w:t>(min. 3 hónapos munkaviszony a jelenlegi munkahelyén)</w:t>
      </w:r>
    </w:p>
    <w:p w:rsidR="00C0379E" w:rsidRPr="00EB5A74" w:rsidRDefault="00C0379E" w:rsidP="00AE7F45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 xml:space="preserve">vállalkozó és van bejelentett jövedelme </w:t>
      </w:r>
      <w:r w:rsidRPr="00B64256">
        <w:rPr>
          <w:rFonts w:ascii="Verdana" w:eastAsia="Calibri" w:hAnsi="Verdana" w:cs="Times New Roman"/>
          <w:sz w:val="16"/>
          <w:szCs w:val="16"/>
        </w:rPr>
        <w:t>(min. 2 éves vállalkozás)</w:t>
      </w:r>
    </w:p>
    <w:p w:rsidR="00C0379E" w:rsidRPr="004847D9" w:rsidRDefault="00C0379E" w:rsidP="004847D9">
      <w:pPr>
        <w:numPr>
          <w:ilvl w:val="0"/>
          <w:numId w:val="5"/>
        </w:numPr>
        <w:spacing w:after="0"/>
        <w:ind w:left="1418"/>
        <w:jc w:val="both"/>
        <w:rPr>
          <w:rFonts w:ascii="Verdana" w:eastAsia="Calibri" w:hAnsi="Verdana" w:cs="Times New Roman"/>
          <w:sz w:val="17"/>
          <w:szCs w:val="17"/>
        </w:rPr>
      </w:pPr>
      <w:r w:rsidRPr="004847D9">
        <w:rPr>
          <w:rFonts w:ascii="Verdana" w:eastAsia="Calibri" w:hAnsi="Verdana" w:cs="Times New Roman"/>
          <w:sz w:val="17"/>
          <w:szCs w:val="17"/>
        </w:rPr>
        <w:t>nyugdíjas vagy rokkantsági ellátásban részesül</w:t>
      </w:r>
    </w:p>
    <w:p w:rsidR="00C0379E" w:rsidRPr="00EB5A74" w:rsidRDefault="00C0379E" w:rsidP="00AE7F45">
      <w:pPr>
        <w:numPr>
          <w:ilvl w:val="0"/>
          <w:numId w:val="4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 xml:space="preserve">saját telefonos elérhetőség </w:t>
      </w:r>
      <w:r w:rsidRPr="00B64256">
        <w:rPr>
          <w:rFonts w:ascii="Verdana" w:eastAsia="Calibri" w:hAnsi="Verdana" w:cs="Times New Roman"/>
          <w:sz w:val="16"/>
          <w:szCs w:val="16"/>
        </w:rPr>
        <w:t>(vezetékes vagy mobil)</w:t>
      </w:r>
    </w:p>
    <w:p w:rsidR="00C0379E" w:rsidRPr="00EB5A74" w:rsidRDefault="00C0379E" w:rsidP="00AE7F45">
      <w:pPr>
        <w:numPr>
          <w:ilvl w:val="0"/>
          <w:numId w:val="4"/>
        </w:numPr>
        <w:spacing w:after="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>ne szerepeljen aktív adósként a negatív KHR listán</w:t>
      </w:r>
    </w:p>
    <w:p w:rsidR="00C0379E" w:rsidRPr="00EB5A74" w:rsidRDefault="00C0379E" w:rsidP="00AE7F45">
      <w:pPr>
        <w:pStyle w:val="Cmsor4"/>
        <w:ind w:left="1080"/>
        <w:rPr>
          <w:rFonts w:ascii="Verdana" w:hAnsi="Verdana"/>
          <w:color w:val="auto"/>
          <w:sz w:val="17"/>
          <w:szCs w:val="17"/>
        </w:rPr>
      </w:pPr>
      <w:r w:rsidRPr="00EB5A74">
        <w:rPr>
          <w:rFonts w:ascii="Verdana" w:hAnsi="Verdana"/>
          <w:color w:val="auto"/>
          <w:sz w:val="17"/>
          <w:szCs w:val="17"/>
        </w:rPr>
        <w:t>Egyéb feltételek:</w:t>
      </w:r>
    </w:p>
    <w:p w:rsidR="00C0379E" w:rsidRPr="00EB5A74" w:rsidRDefault="00C0379E" w:rsidP="00AE7F45">
      <w:pPr>
        <w:numPr>
          <w:ilvl w:val="0"/>
          <w:numId w:val="6"/>
        </w:numPr>
        <w:spacing w:after="0"/>
        <w:ind w:left="180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>nem áll felmondás alatt, nem tölti próbaidejét</w:t>
      </w:r>
    </w:p>
    <w:p w:rsidR="00C0379E" w:rsidRPr="00EB5A74" w:rsidRDefault="00C0379E" w:rsidP="00AE7F45">
      <w:pPr>
        <w:numPr>
          <w:ilvl w:val="0"/>
          <w:numId w:val="6"/>
        </w:numPr>
        <w:spacing w:after="0"/>
        <w:ind w:left="1800"/>
        <w:jc w:val="both"/>
        <w:rPr>
          <w:rFonts w:ascii="Verdana" w:eastAsia="Calibri" w:hAnsi="Verdana" w:cs="Times New Roman"/>
          <w:sz w:val="17"/>
          <w:szCs w:val="17"/>
        </w:rPr>
      </w:pPr>
      <w:r w:rsidRPr="00EB5A74">
        <w:rPr>
          <w:rFonts w:ascii="Verdana" w:eastAsia="Calibri" w:hAnsi="Verdana" w:cs="Times New Roman"/>
          <w:sz w:val="17"/>
          <w:szCs w:val="17"/>
        </w:rPr>
        <w:t>nincsen 10 napnál hosszabb ideje betegszabadságon</w:t>
      </w:r>
    </w:p>
    <w:p w:rsidR="00C0379E" w:rsidRPr="00EB5A74" w:rsidRDefault="00C0379E" w:rsidP="00AE7F45">
      <w:pPr>
        <w:pStyle w:val="Nincstrkz"/>
        <w:numPr>
          <w:ilvl w:val="0"/>
          <w:numId w:val="6"/>
        </w:numPr>
        <w:spacing w:line="276" w:lineRule="auto"/>
        <w:ind w:left="1800"/>
        <w:jc w:val="both"/>
        <w:rPr>
          <w:rFonts w:ascii="Verdana" w:hAnsi="Verdana"/>
          <w:sz w:val="17"/>
          <w:szCs w:val="17"/>
        </w:rPr>
      </w:pPr>
      <w:r w:rsidRPr="00EB5A74">
        <w:rPr>
          <w:rFonts w:ascii="Verdana" w:hAnsi="Verdana"/>
          <w:sz w:val="17"/>
          <w:szCs w:val="17"/>
        </w:rPr>
        <w:t>amennyiben a jövedelmet letiltás terheli, a kérelem nem fogadható el.</w:t>
      </w:r>
    </w:p>
    <w:p w:rsidR="00C0379E" w:rsidRPr="00EB5A74" w:rsidRDefault="00C0379E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C0379E" w:rsidRPr="00E31699" w:rsidRDefault="00C0379E" w:rsidP="00E31699">
      <w:pPr>
        <w:widowControl w:val="0"/>
        <w:spacing w:after="0" w:line="360" w:lineRule="auto"/>
        <w:rPr>
          <w:rFonts w:ascii="Verdana" w:eastAsia="Times New Roman" w:hAnsi="Verdana" w:cs="Times New Roman"/>
          <w:b/>
          <w:sz w:val="17"/>
          <w:szCs w:val="17"/>
          <w:u w:val="single"/>
        </w:rPr>
      </w:pPr>
      <w:r w:rsidRPr="00E31699">
        <w:rPr>
          <w:rFonts w:ascii="Verdana" w:eastAsia="Times New Roman" w:hAnsi="Verdana" w:cs="Times New Roman"/>
          <w:b/>
          <w:sz w:val="17"/>
          <w:szCs w:val="17"/>
          <w:u w:val="single"/>
        </w:rPr>
        <w:t>A hiteligényléshez az Adós és az Adóstárs a következő dokumentumokat hozza magával: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2"/>
        <w:gridCol w:w="3927"/>
        <w:gridCol w:w="3402"/>
        <w:gridCol w:w="1709"/>
      </w:tblGrid>
      <w:tr w:rsidR="00C0379E" w:rsidRPr="00EB5A74" w:rsidTr="00E31699">
        <w:trPr>
          <w:trHeight w:val="540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Szükséges dokumentumok</w:t>
            </w:r>
          </w:p>
        </w:tc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Alkalmazott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9E" w:rsidRPr="00EB5A74" w:rsidRDefault="00C0379E" w:rsidP="00F116B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Öregségi n</w:t>
            </w: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 xml:space="preserve">yugdíjas/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rokkantsági ellátásban részesül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Vállalkozó/ Őstermelő</w:t>
            </w:r>
          </w:p>
        </w:tc>
      </w:tr>
      <w:tr w:rsidR="00C0379E" w:rsidRPr="00EB5A74" w:rsidTr="00E31699">
        <w:trPr>
          <w:trHeight w:val="1339"/>
          <w:jc w:val="center"/>
        </w:trPr>
        <w:tc>
          <w:tcPr>
            <w:tcW w:w="19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379E" w:rsidRPr="00EB5A74" w:rsidRDefault="00C0379E" w:rsidP="007E40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  <w:t>Személyes okmányok másolata</w:t>
            </w:r>
          </w:p>
        </w:tc>
        <w:tc>
          <w:tcPr>
            <w:tcW w:w="903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0379E" w:rsidRPr="00EB5A74" w:rsidRDefault="00C0379E" w:rsidP="00774106">
            <w:pPr>
              <w:numPr>
                <w:ilvl w:val="0"/>
                <w:numId w:val="7"/>
              </w:numPr>
              <w:spacing w:after="0" w:line="240" w:lineRule="auto"/>
              <w:ind w:left="358" w:hanging="25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a régi vagy az ún. „barna” személyi igazolvány (+ lakcímkártya, ha a lakcímváltozást nem az igazolványban, hanem a lakcímkártyán rögzítik)</w:t>
            </w:r>
          </w:p>
          <w:p w:rsidR="00C0379E" w:rsidRPr="00EB5A74" w:rsidRDefault="00C0379E" w:rsidP="00774106">
            <w:pPr>
              <w:numPr>
                <w:ilvl w:val="0"/>
                <w:numId w:val="7"/>
              </w:numPr>
              <w:spacing w:after="0" w:line="240" w:lineRule="auto"/>
              <w:ind w:left="358" w:hanging="25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kártya formátumú személyazonosító igazolvány + lakcímkártya</w:t>
            </w:r>
          </w:p>
          <w:p w:rsidR="00C0379E" w:rsidRPr="00EB5A74" w:rsidRDefault="00C0379E" w:rsidP="00774106">
            <w:pPr>
              <w:numPr>
                <w:ilvl w:val="0"/>
                <w:numId w:val="7"/>
              </w:numPr>
              <w:spacing w:after="0" w:line="240" w:lineRule="auto"/>
              <w:ind w:left="358" w:hanging="25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e-személyazonosító igazolvány (</w:t>
            </w:r>
            <w:proofErr w:type="spellStart"/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eSZIG</w:t>
            </w:r>
            <w:proofErr w:type="spellEnd"/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) + lakcímkártya</w:t>
            </w:r>
          </w:p>
          <w:p w:rsidR="00C0379E" w:rsidRPr="00EB5A74" w:rsidRDefault="00C0379E" w:rsidP="00774106">
            <w:pPr>
              <w:numPr>
                <w:ilvl w:val="0"/>
                <w:numId w:val="7"/>
              </w:numPr>
              <w:spacing w:after="0" w:line="240" w:lineRule="auto"/>
              <w:ind w:left="358" w:hanging="25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kártya formátumú vezetői engedély + lakcímkártya</w:t>
            </w:r>
          </w:p>
          <w:p w:rsidR="00C0379E" w:rsidRPr="00EB5A74" w:rsidRDefault="00C0379E" w:rsidP="00774106">
            <w:pPr>
              <w:numPr>
                <w:ilvl w:val="0"/>
                <w:numId w:val="7"/>
              </w:numPr>
              <w:spacing w:after="0" w:line="240" w:lineRule="auto"/>
              <w:ind w:left="358" w:hanging="259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útlevél + lakcímkártya</w:t>
            </w:r>
          </w:p>
        </w:tc>
      </w:tr>
      <w:tr w:rsidR="00C0379E" w:rsidRPr="00EB5A74" w:rsidTr="00E31699">
        <w:trPr>
          <w:trHeight w:val="2228"/>
          <w:jc w:val="center"/>
        </w:trPr>
        <w:tc>
          <w:tcPr>
            <w:tcW w:w="19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379E" w:rsidRPr="00EB5A74" w:rsidRDefault="00C0379E" w:rsidP="007E4078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hu-HU"/>
              </w:rPr>
              <w:t>Jövedelemigazolás*</w:t>
            </w:r>
          </w:p>
        </w:tc>
        <w:tc>
          <w:tcPr>
            <w:tcW w:w="39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500.000 Ft alatt:</w:t>
            </w:r>
          </w:p>
          <w:p w:rsidR="00C0379E" w:rsidRPr="00EB5A74" w:rsidRDefault="00C0379E" w:rsidP="007741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Munkáltatói igazolás </w:t>
            </w:r>
            <w:r w:rsidRPr="00691769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(eredeti, 30 napnál nem régebbi)</w:t>
            </w:r>
          </w:p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bankszámlakivonat </w:t>
            </w:r>
            <w:r w:rsidRPr="00EF02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(60 napnál nem régebbi)</w:t>
            </w:r>
          </w:p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</w:p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u-HU"/>
              </w:rPr>
              <w:t>500.000 Ft felett:</w:t>
            </w:r>
          </w:p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Munkáltatói igazolás </w:t>
            </w:r>
            <w:r w:rsidRPr="00EF02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(eredeti, 30 napnál nem régebbi)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Éves elszámoló lap</w:t>
            </w:r>
          </w:p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Nyugdíjas igazolvány nyugdíjszelvénnyel</w:t>
            </w:r>
          </w:p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Havi ellátás elszámolás</w:t>
            </w:r>
          </w:p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vagy</w:t>
            </w:r>
          </w:p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Bankszámlakivonat </w:t>
            </w:r>
            <w:r w:rsidRPr="00EF02D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hu-HU"/>
              </w:rPr>
              <w:t>(60 napnál nem régebbi)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379E" w:rsidRPr="00EB5A74" w:rsidRDefault="00C0379E" w:rsidP="007E4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EB5A7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Előző évi NAV jövedelemigazolás</w:t>
            </w:r>
          </w:p>
        </w:tc>
      </w:tr>
    </w:tbl>
    <w:p w:rsidR="00C0379E" w:rsidRPr="00AD4C14" w:rsidRDefault="00C0379E" w:rsidP="007E407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16"/>
          <w:szCs w:val="16"/>
          <w:lang w:eastAsia="hu-HU"/>
        </w:rPr>
      </w:pPr>
      <w:r w:rsidRPr="00AD4C14">
        <w:rPr>
          <w:rFonts w:ascii="Verdana" w:eastAsia="Calibri" w:hAnsi="Verdana" w:cs="Times New Roman"/>
          <w:color w:val="000000"/>
          <w:sz w:val="16"/>
          <w:szCs w:val="16"/>
          <w:lang w:eastAsia="hu-HU"/>
        </w:rPr>
        <w:t>*Kötelező a munkáltatói igazolás, ha a munkáltató nem rendelkezik publikus telefonos elérhetőséggel, hitelösszegtől függetlenül.</w:t>
      </w:r>
    </w:p>
    <w:p w:rsidR="00C0379E" w:rsidRDefault="00C0379E" w:rsidP="00AE7F4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C0379E" w:rsidRPr="00EB5A74" w:rsidRDefault="00C0379E" w:rsidP="00AE7F45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</w:p>
    <w:p w:rsidR="00C0379E" w:rsidRPr="00EB5A74" w:rsidRDefault="00C0379E" w:rsidP="007C2E01">
      <w:pPr>
        <w:widowControl w:val="0"/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EB5A74">
        <w:rPr>
          <w:rFonts w:ascii="Verdana" w:eastAsia="Times New Roman" w:hAnsi="Verdana" w:cs="Times New Roman"/>
          <w:sz w:val="17"/>
          <w:szCs w:val="17"/>
        </w:rPr>
        <w:t xml:space="preserve">Kérjük, hogy hosszú távú szempontok mérlegelésével és józan körültekintéssel értékelje teherviselő képességét, és azt, hogy erre tekintettel mekkora </w:t>
      </w:r>
      <w:proofErr w:type="spellStart"/>
      <w:r w:rsidRPr="00EB5A74">
        <w:rPr>
          <w:rFonts w:ascii="Verdana" w:eastAsia="Times New Roman" w:hAnsi="Verdana" w:cs="Times New Roman"/>
          <w:sz w:val="17"/>
          <w:szCs w:val="17"/>
        </w:rPr>
        <w:t>törlesztőrészletet</w:t>
      </w:r>
      <w:proofErr w:type="spellEnd"/>
      <w:r w:rsidRPr="00EB5A74">
        <w:rPr>
          <w:rFonts w:ascii="Verdana" w:eastAsia="Times New Roman" w:hAnsi="Verdana" w:cs="Times New Roman"/>
          <w:sz w:val="17"/>
          <w:szCs w:val="17"/>
        </w:rPr>
        <w:t xml:space="preserve"> tud vállalni.</w:t>
      </w:r>
    </w:p>
    <w:p w:rsidR="00C0379E" w:rsidRDefault="00C0379E" w:rsidP="00740593">
      <w:pPr>
        <w:pStyle w:val="Nincstrkz"/>
        <w:jc w:val="both"/>
        <w:rPr>
          <w:rFonts w:ascii="Verdana" w:hAnsi="Verdana"/>
          <w:sz w:val="17"/>
          <w:szCs w:val="17"/>
          <w:highlight w:val="yellow"/>
        </w:rPr>
      </w:pPr>
    </w:p>
    <w:p w:rsidR="00C0379E" w:rsidRPr="00EB5A74" w:rsidRDefault="00C0379E" w:rsidP="00740593">
      <w:pPr>
        <w:pStyle w:val="Nincstrkz"/>
        <w:jc w:val="both"/>
        <w:rPr>
          <w:rFonts w:ascii="Verdana" w:hAnsi="Verdana"/>
          <w:sz w:val="17"/>
          <w:szCs w:val="17"/>
          <w:highlight w:val="yellow"/>
        </w:rPr>
      </w:pPr>
    </w:p>
    <w:p w:rsidR="00C0379E" w:rsidRPr="00EB5A74" w:rsidRDefault="00C0379E" w:rsidP="00740593">
      <w:pPr>
        <w:pStyle w:val="Nincstrkz"/>
        <w:jc w:val="both"/>
        <w:rPr>
          <w:rFonts w:ascii="Verdana" w:eastAsia="Times New Roman" w:hAnsi="Verdana" w:cs="Times New Roman"/>
          <w:sz w:val="17"/>
          <w:szCs w:val="17"/>
        </w:rPr>
      </w:pPr>
      <w:proofErr w:type="gramStart"/>
      <w:r w:rsidRPr="00B22BDD">
        <w:rPr>
          <w:rFonts w:ascii="Verdana" w:hAnsi="Verdana"/>
          <w:sz w:val="17"/>
          <w:szCs w:val="17"/>
        </w:rPr>
        <w:t>A(</w:t>
      </w:r>
      <w:proofErr w:type="gramEnd"/>
      <w:r w:rsidRPr="00B22BDD">
        <w:rPr>
          <w:rFonts w:ascii="Verdana" w:hAnsi="Verdana"/>
          <w:sz w:val="17"/>
          <w:szCs w:val="17"/>
        </w:rPr>
        <w:t xml:space="preserve">z) </w:t>
      </w:r>
      <w:r w:rsidR="00B22BDD">
        <w:rPr>
          <w:rFonts w:ascii="Verdana" w:hAnsi="Verdana"/>
          <w:noProof/>
          <w:sz w:val="17"/>
          <w:szCs w:val="17"/>
        </w:rPr>
        <w:t>NÉKE-HELLEBORUS Bt.</w:t>
      </w:r>
      <w:r w:rsidRPr="00EB5A74">
        <w:rPr>
          <w:rFonts w:ascii="Verdana" w:hAnsi="Verdana"/>
          <w:sz w:val="17"/>
          <w:szCs w:val="17"/>
        </w:rPr>
        <w:t xml:space="preserve"> a </w:t>
      </w:r>
      <w:proofErr w:type="spellStart"/>
      <w:r w:rsidRPr="00EB5A74">
        <w:rPr>
          <w:rFonts w:ascii="Verdana" w:hAnsi="Verdana"/>
          <w:sz w:val="17"/>
          <w:szCs w:val="17"/>
        </w:rPr>
        <w:t>Cofidis</w:t>
      </w:r>
      <w:proofErr w:type="spellEnd"/>
      <w:r w:rsidRPr="00EB5A74">
        <w:rPr>
          <w:rFonts w:ascii="Verdana" w:hAnsi="Verdana"/>
          <w:sz w:val="17"/>
          <w:szCs w:val="17"/>
        </w:rPr>
        <w:t xml:space="preserve"> Magyarországi Fióktelepe képviseletében, a Cofidis Magyarországi Fióktelepe hitelközvetítőjeként jár el. </w:t>
      </w:r>
    </w:p>
    <w:p w:rsidR="00C0379E" w:rsidRDefault="00C0379E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C0379E" w:rsidRPr="00EB5A74" w:rsidRDefault="00C0379E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C0379E" w:rsidRPr="00EB5A74" w:rsidRDefault="00C0379E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r w:rsidRPr="00EB5A74">
        <w:rPr>
          <w:rFonts w:ascii="Verdana" w:eastAsia="Times New Roman" w:hAnsi="Verdana" w:cs="Times New Roman"/>
          <w:sz w:val="17"/>
          <w:szCs w:val="17"/>
        </w:rPr>
        <w:t>További információ a helyszínen vagy a következő telefonszámon kérhető: (06 1) 354 5000</w:t>
      </w:r>
    </w:p>
    <w:p w:rsidR="00C0379E" w:rsidRPr="00EB5A74" w:rsidRDefault="00C0379E" w:rsidP="007C2E01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</w:p>
    <w:p w:rsidR="00C0379E" w:rsidRDefault="00C0379E" w:rsidP="007E4078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  <w:sectPr w:rsidR="00C0379E" w:rsidSect="00C0379E">
          <w:headerReference w:type="first" r:id="rId8"/>
          <w:footerReference w:type="first" r:id="rId9"/>
          <w:endnotePr>
            <w:numFmt w:val="decimal"/>
          </w:endnotePr>
          <w:pgSz w:w="12240" w:h="15840" w:code="1"/>
          <w:pgMar w:top="709" w:right="567" w:bottom="284" w:left="567" w:header="340" w:footer="404" w:gutter="0"/>
          <w:pgNumType w:start="1"/>
          <w:cols w:space="720"/>
          <w:titlePg/>
        </w:sectPr>
      </w:pPr>
      <w:r w:rsidRPr="00EB5A74">
        <w:rPr>
          <w:rFonts w:ascii="Verdana" w:eastAsia="Times New Roman" w:hAnsi="Verdana" w:cs="Times New Roman"/>
          <w:sz w:val="17"/>
          <w:szCs w:val="17"/>
        </w:rPr>
        <w:t xml:space="preserve">Budapest, </w:t>
      </w:r>
      <w:r w:rsidRPr="00EB5A74">
        <w:rPr>
          <w:rFonts w:ascii="Verdana" w:eastAsia="Times New Roman" w:hAnsi="Verdana" w:cs="Times New Roman"/>
          <w:sz w:val="17"/>
          <w:szCs w:val="17"/>
        </w:rPr>
        <w:fldChar w:fldCharType="begin"/>
      </w:r>
      <w:r w:rsidRPr="00EB5A74">
        <w:rPr>
          <w:rFonts w:ascii="Verdana" w:eastAsia="Times New Roman" w:hAnsi="Verdana" w:cs="Times New Roman"/>
          <w:sz w:val="17"/>
          <w:szCs w:val="17"/>
        </w:rPr>
        <w:instrText xml:space="preserve"> TIME \@ "yyyy. MMMM d." </w:instrText>
      </w:r>
      <w:r w:rsidRPr="00EB5A74">
        <w:rPr>
          <w:rFonts w:ascii="Verdana" w:eastAsia="Times New Roman" w:hAnsi="Verdana" w:cs="Times New Roman"/>
          <w:sz w:val="17"/>
          <w:szCs w:val="17"/>
        </w:rPr>
        <w:fldChar w:fldCharType="separate"/>
      </w:r>
      <w:r w:rsidR="00B22BDD">
        <w:rPr>
          <w:rFonts w:ascii="Verdana" w:eastAsia="Times New Roman" w:hAnsi="Verdana" w:cs="Times New Roman"/>
          <w:noProof/>
          <w:sz w:val="17"/>
          <w:szCs w:val="17"/>
        </w:rPr>
        <w:t>2019. január 11.</w:t>
      </w:r>
      <w:r w:rsidRPr="00EB5A74">
        <w:rPr>
          <w:rFonts w:ascii="Verdana" w:eastAsia="Times New Roman" w:hAnsi="Verdana" w:cs="Times New Roman"/>
          <w:sz w:val="17"/>
          <w:szCs w:val="17"/>
        </w:rPr>
        <w:fldChar w:fldCharType="end"/>
      </w:r>
    </w:p>
    <w:p w:rsidR="00C0379E" w:rsidRPr="00EB5A74" w:rsidRDefault="00C0379E" w:rsidP="007E4078">
      <w:pPr>
        <w:widowControl w:val="0"/>
        <w:spacing w:after="0" w:line="240" w:lineRule="auto"/>
        <w:rPr>
          <w:rFonts w:ascii="Verdana" w:eastAsia="Times New Roman" w:hAnsi="Verdana" w:cs="Times New Roman"/>
          <w:sz w:val="17"/>
          <w:szCs w:val="17"/>
        </w:rPr>
      </w:pPr>
      <w:bookmarkStart w:id="0" w:name="_GoBack"/>
      <w:bookmarkEnd w:id="0"/>
    </w:p>
    <w:sectPr w:rsidR="00C0379E" w:rsidRPr="00EB5A74" w:rsidSect="00C0379E">
      <w:headerReference w:type="first" r:id="rId10"/>
      <w:footerReference w:type="first" r:id="rId11"/>
      <w:endnotePr>
        <w:numFmt w:val="decimal"/>
      </w:endnotePr>
      <w:type w:val="continuous"/>
      <w:pgSz w:w="12240" w:h="15840" w:code="1"/>
      <w:pgMar w:top="709" w:right="567" w:bottom="284" w:left="567" w:header="340" w:footer="4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79E" w:rsidRDefault="00C0379E" w:rsidP="00F40BC3">
      <w:pPr>
        <w:spacing w:after="0" w:line="240" w:lineRule="auto"/>
      </w:pPr>
      <w:r>
        <w:separator/>
      </w:r>
    </w:p>
  </w:endnote>
  <w:endnote w:type="continuationSeparator" w:id="0">
    <w:p w:rsidR="00C0379E" w:rsidRDefault="00C0379E" w:rsidP="00F4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9E" w:rsidRPr="00AD4C14" w:rsidRDefault="00C0379E" w:rsidP="00AD4C14">
    <w:pPr>
      <w:pStyle w:val="llb"/>
      <w:rPr>
        <w:rFonts w:ascii="Verdana" w:hAnsi="Verdana"/>
        <w:sz w:val="14"/>
        <w:szCs w:val="14"/>
      </w:rPr>
    </w:pPr>
    <w:r w:rsidRPr="00EB5A74">
      <w:rPr>
        <w:rFonts w:ascii="Verdana" w:eastAsia="Times New Roman" w:hAnsi="Verdana" w:cs="Calibri"/>
        <w:noProof/>
        <w:color w:val="000000"/>
        <w:sz w:val="17"/>
        <w:szCs w:val="17"/>
        <w:vertAlign w:val="superscript"/>
        <w:lang w:eastAsia="hu-HU"/>
      </w:rPr>
      <w:t>[1]</w:t>
    </w:r>
    <w:r w:rsidRPr="00AD4C14">
      <w:rPr>
        <w:rFonts w:ascii="Verdana" w:hAnsi="Verdana"/>
        <w:sz w:val="14"/>
        <w:szCs w:val="14"/>
      </w:rPr>
      <w:t xml:space="preserve"> A feltüntetett adatok átutalás vagy csoportos beszedési megbízásos fizetési mód választása esetén érvényesek. A hitelkamat rögzített, a THM mértékével megegyezik. A tájékoztatás nem teljes körű; a feltételeket és a részleteket a Cofidis Magyarországi Fióktelepe weboldalán (cofidis.hu) a mindenkor hatályos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>
      <w:rPr>
        <w:rFonts w:ascii="Verdana" w:hAnsi="Verdana"/>
        <w:sz w:val="14"/>
        <w:szCs w:val="14"/>
      </w:rPr>
      <w:t xml:space="preserve"> </w:t>
    </w:r>
    <w:r w:rsidRPr="004D711B">
      <w:rPr>
        <w:rFonts w:ascii="Verdana" w:hAnsi="Verdana"/>
        <w:noProof/>
        <w:sz w:val="14"/>
        <w:szCs w:val="14"/>
      </w:rPr>
      <w:t>Áruhitel</w:t>
    </w:r>
    <w:r w:rsidRPr="00AD4C14">
      <w:rPr>
        <w:rFonts w:ascii="Verdana" w:hAnsi="Verdana"/>
        <w:sz w:val="14"/>
        <w:szCs w:val="14"/>
      </w:rPr>
      <w:t xml:space="preserve"> általános szerződési feltételekben megtalálja. A hirdetés nem minősül ajánlattételnek, a hitelbírálat jogát a Cofidis Magyarországi Fióktelepe minden esetben fenntartja.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22" w:rsidRPr="00AD4C14" w:rsidRDefault="002A3B22" w:rsidP="00AD4C14">
    <w:pPr>
      <w:pStyle w:val="llb"/>
      <w:rPr>
        <w:rFonts w:ascii="Verdana" w:hAnsi="Verdana"/>
        <w:sz w:val="14"/>
        <w:szCs w:val="14"/>
      </w:rPr>
    </w:pPr>
    <w:r w:rsidRPr="00EB5A74">
      <w:rPr>
        <w:rFonts w:ascii="Verdana" w:eastAsia="Times New Roman" w:hAnsi="Verdana" w:cs="Calibri"/>
        <w:noProof/>
        <w:color w:val="000000"/>
        <w:sz w:val="17"/>
        <w:szCs w:val="17"/>
        <w:vertAlign w:val="superscript"/>
        <w:lang w:eastAsia="hu-HU"/>
      </w:rPr>
      <w:t>[1]</w:t>
    </w:r>
    <w:r w:rsidRPr="00AD4C14">
      <w:rPr>
        <w:rFonts w:ascii="Verdana" w:hAnsi="Verdana"/>
        <w:sz w:val="14"/>
        <w:szCs w:val="14"/>
      </w:rPr>
      <w:t xml:space="preserve"> A feltüntetett adatok átutalás vagy csoportos beszedési megbízásos fizetési mód választása esetén érvényesek. A hitelkamat rögzített, a THM mértékével megegyezik. A tájékoztatás nem teljes körű; a feltételeket és a részleteket a Cofidis Magyarországi Fióktelepe weboldalán (cofidis.hu) a mindenkor hatályos </w:t>
    </w:r>
    <w:proofErr w:type="spellStart"/>
    <w:r w:rsidRPr="00AD4C14">
      <w:rPr>
        <w:rFonts w:ascii="Verdana" w:hAnsi="Verdana"/>
        <w:sz w:val="14"/>
        <w:szCs w:val="14"/>
      </w:rPr>
      <w:t>Cofidis</w:t>
    </w:r>
    <w:proofErr w:type="spellEnd"/>
    <w:r>
      <w:rPr>
        <w:rFonts w:ascii="Verdana" w:hAnsi="Verdana"/>
        <w:sz w:val="14"/>
        <w:szCs w:val="14"/>
      </w:rPr>
      <w:t xml:space="preserve"> </w:t>
    </w:r>
    <w:r w:rsidR="00524010" w:rsidRPr="004D711B">
      <w:rPr>
        <w:rFonts w:ascii="Verdana" w:hAnsi="Verdana"/>
        <w:noProof/>
        <w:sz w:val="14"/>
        <w:szCs w:val="14"/>
      </w:rPr>
      <w:t>Áruhitel</w:t>
    </w:r>
    <w:r w:rsidRPr="00AD4C14">
      <w:rPr>
        <w:rFonts w:ascii="Verdana" w:hAnsi="Verdana"/>
        <w:sz w:val="14"/>
        <w:szCs w:val="14"/>
      </w:rPr>
      <w:t xml:space="preserve"> általános szerződési feltételekben megtalálja. A hirdetés nem minősül ajánlattételnek, a hitelbírálat jogát a Cofidis Magyarországi Fióktelepe minden esetben fenntartja.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79E" w:rsidRDefault="00C0379E" w:rsidP="00F40BC3">
      <w:pPr>
        <w:spacing w:after="0" w:line="240" w:lineRule="auto"/>
      </w:pPr>
      <w:r>
        <w:separator/>
      </w:r>
    </w:p>
  </w:footnote>
  <w:footnote w:type="continuationSeparator" w:id="0">
    <w:p w:rsidR="00C0379E" w:rsidRDefault="00C0379E" w:rsidP="00F40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79E" w:rsidRDefault="00C0379E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392C9990" wp14:editId="7F0BEE2B">
          <wp:simplePos x="0" y="0"/>
          <wp:positionH relativeFrom="column">
            <wp:posOffset>-297815</wp:posOffset>
          </wp:positionH>
          <wp:positionV relativeFrom="paragraph">
            <wp:posOffset>-149225</wp:posOffset>
          </wp:positionV>
          <wp:extent cx="1019175" cy="688007"/>
          <wp:effectExtent l="0" t="0" r="0" b="0"/>
          <wp:wrapNone/>
          <wp:docPr id="2" name="Kép 2" descr="\\Uf38h001\PARTNERKAPCSOLAT – MARKETING\marketing anyagok\új logo 201202\COFIDI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38h001\PARTNERKAPCSOLAT – MARKETING\marketing anyagok\új logo 201202\COFIDIS FOND 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7" cy="68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22" w:rsidRDefault="002A3B22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92C9990" wp14:editId="7F0BEE2B">
          <wp:simplePos x="0" y="0"/>
          <wp:positionH relativeFrom="column">
            <wp:posOffset>-297815</wp:posOffset>
          </wp:positionH>
          <wp:positionV relativeFrom="paragraph">
            <wp:posOffset>-149225</wp:posOffset>
          </wp:positionV>
          <wp:extent cx="1019175" cy="688007"/>
          <wp:effectExtent l="0" t="0" r="0" b="0"/>
          <wp:wrapNone/>
          <wp:docPr id="1" name="Kép 1" descr="\\Uf38h001\PARTNERKAPCSOLAT – MARKETING\marketing anyagok\új logo 201202\COFIDIS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f38h001\PARTNERKAPCSOLAT – MARKETING\marketing anyagok\új logo 201202\COFIDIS FOND BLAN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147" cy="689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2A40AE5"/>
    <w:multiLevelType w:val="hybridMultilevel"/>
    <w:tmpl w:val="6D1654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47B788C"/>
    <w:multiLevelType w:val="hybridMultilevel"/>
    <w:tmpl w:val="ABE4CEC8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A305631"/>
    <w:multiLevelType w:val="hybridMultilevel"/>
    <w:tmpl w:val="9D6222EC"/>
    <w:lvl w:ilvl="0" w:tplc="96FE2AB6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20284B99"/>
    <w:multiLevelType w:val="hybridMultilevel"/>
    <w:tmpl w:val="DCFAF4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23FF2154"/>
    <w:multiLevelType w:val="hybridMultilevel"/>
    <w:tmpl w:val="9C88BEE0"/>
    <w:lvl w:ilvl="0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1">
    <w:nsid w:val="35000762"/>
    <w:multiLevelType w:val="hybridMultilevel"/>
    <w:tmpl w:val="DAD8112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3EEB07DD"/>
    <w:multiLevelType w:val="hybridMultilevel"/>
    <w:tmpl w:val="F0BAA884"/>
    <w:lvl w:ilvl="0" w:tplc="D6A88EC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C23276D"/>
    <w:multiLevelType w:val="hybridMultilevel"/>
    <w:tmpl w:val="965CCBD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E8"/>
    <w:rsid w:val="00004791"/>
    <w:rsid w:val="0005183A"/>
    <w:rsid w:val="00064283"/>
    <w:rsid w:val="000D7E6F"/>
    <w:rsid w:val="001109B8"/>
    <w:rsid w:val="00125D3B"/>
    <w:rsid w:val="001267A8"/>
    <w:rsid w:val="00133131"/>
    <w:rsid w:val="00136698"/>
    <w:rsid w:val="00141463"/>
    <w:rsid w:val="001855FC"/>
    <w:rsid w:val="001B4321"/>
    <w:rsid w:val="001B4D3A"/>
    <w:rsid w:val="001F3DA6"/>
    <w:rsid w:val="00212CFE"/>
    <w:rsid w:val="00232A70"/>
    <w:rsid w:val="00242C58"/>
    <w:rsid w:val="0024518B"/>
    <w:rsid w:val="002660BB"/>
    <w:rsid w:val="00266BA4"/>
    <w:rsid w:val="00294275"/>
    <w:rsid w:val="00294679"/>
    <w:rsid w:val="002A0662"/>
    <w:rsid w:val="002A3B22"/>
    <w:rsid w:val="002A621C"/>
    <w:rsid w:val="002B669C"/>
    <w:rsid w:val="002C0BCA"/>
    <w:rsid w:val="002D2481"/>
    <w:rsid w:val="002F4CB7"/>
    <w:rsid w:val="002F58AD"/>
    <w:rsid w:val="00326853"/>
    <w:rsid w:val="00354D55"/>
    <w:rsid w:val="00363E27"/>
    <w:rsid w:val="003705F7"/>
    <w:rsid w:val="0038012A"/>
    <w:rsid w:val="003814FC"/>
    <w:rsid w:val="003836EA"/>
    <w:rsid w:val="00391BC8"/>
    <w:rsid w:val="003A129B"/>
    <w:rsid w:val="003C7A9F"/>
    <w:rsid w:val="003F3BFA"/>
    <w:rsid w:val="003F5B84"/>
    <w:rsid w:val="004047CB"/>
    <w:rsid w:val="00414D1C"/>
    <w:rsid w:val="004155B5"/>
    <w:rsid w:val="004471FA"/>
    <w:rsid w:val="00455E7D"/>
    <w:rsid w:val="00480313"/>
    <w:rsid w:val="004847D9"/>
    <w:rsid w:val="00487035"/>
    <w:rsid w:val="00491006"/>
    <w:rsid w:val="00492274"/>
    <w:rsid w:val="00495E93"/>
    <w:rsid w:val="004A3D7C"/>
    <w:rsid w:val="004B3E34"/>
    <w:rsid w:val="004B3ED2"/>
    <w:rsid w:val="004F34C3"/>
    <w:rsid w:val="00511647"/>
    <w:rsid w:val="00524010"/>
    <w:rsid w:val="00530155"/>
    <w:rsid w:val="00532F63"/>
    <w:rsid w:val="00554F08"/>
    <w:rsid w:val="00556138"/>
    <w:rsid w:val="0056328B"/>
    <w:rsid w:val="00565DEE"/>
    <w:rsid w:val="00571195"/>
    <w:rsid w:val="005A2862"/>
    <w:rsid w:val="005B5B25"/>
    <w:rsid w:val="005D3579"/>
    <w:rsid w:val="005E1E2C"/>
    <w:rsid w:val="00624D7B"/>
    <w:rsid w:val="00652FA0"/>
    <w:rsid w:val="00654B3E"/>
    <w:rsid w:val="00657F62"/>
    <w:rsid w:val="00680005"/>
    <w:rsid w:val="00680E50"/>
    <w:rsid w:val="00691769"/>
    <w:rsid w:val="0069759C"/>
    <w:rsid w:val="006C4CDC"/>
    <w:rsid w:val="006D4472"/>
    <w:rsid w:val="006E6959"/>
    <w:rsid w:val="006F56BC"/>
    <w:rsid w:val="00705279"/>
    <w:rsid w:val="007114BA"/>
    <w:rsid w:val="00724F41"/>
    <w:rsid w:val="007330B6"/>
    <w:rsid w:val="00740593"/>
    <w:rsid w:val="00750F5A"/>
    <w:rsid w:val="00753D3A"/>
    <w:rsid w:val="00764299"/>
    <w:rsid w:val="00764B2F"/>
    <w:rsid w:val="00774106"/>
    <w:rsid w:val="00786B8B"/>
    <w:rsid w:val="007A62A6"/>
    <w:rsid w:val="007B5444"/>
    <w:rsid w:val="007C2E01"/>
    <w:rsid w:val="007E3A80"/>
    <w:rsid w:val="007E4078"/>
    <w:rsid w:val="008324A1"/>
    <w:rsid w:val="008343C6"/>
    <w:rsid w:val="008454EA"/>
    <w:rsid w:val="00855030"/>
    <w:rsid w:val="00873C28"/>
    <w:rsid w:val="00885E79"/>
    <w:rsid w:val="008973C5"/>
    <w:rsid w:val="008A03D6"/>
    <w:rsid w:val="008E7EEF"/>
    <w:rsid w:val="008F2E3A"/>
    <w:rsid w:val="00904BEC"/>
    <w:rsid w:val="00917C02"/>
    <w:rsid w:val="009331E8"/>
    <w:rsid w:val="00937E1A"/>
    <w:rsid w:val="009642B2"/>
    <w:rsid w:val="009771C4"/>
    <w:rsid w:val="009817AB"/>
    <w:rsid w:val="00987A29"/>
    <w:rsid w:val="009C7A30"/>
    <w:rsid w:val="009D0181"/>
    <w:rsid w:val="009E4B0C"/>
    <w:rsid w:val="009F30C5"/>
    <w:rsid w:val="009F758F"/>
    <w:rsid w:val="00A05D88"/>
    <w:rsid w:val="00A120F9"/>
    <w:rsid w:val="00A174AE"/>
    <w:rsid w:val="00A17A5C"/>
    <w:rsid w:val="00A52D86"/>
    <w:rsid w:val="00A652ED"/>
    <w:rsid w:val="00A66C51"/>
    <w:rsid w:val="00A81842"/>
    <w:rsid w:val="00A82D1A"/>
    <w:rsid w:val="00AB2170"/>
    <w:rsid w:val="00AC6041"/>
    <w:rsid w:val="00AD4C14"/>
    <w:rsid w:val="00AE11AD"/>
    <w:rsid w:val="00AE7F45"/>
    <w:rsid w:val="00AF18BB"/>
    <w:rsid w:val="00B06199"/>
    <w:rsid w:val="00B15586"/>
    <w:rsid w:val="00B1683B"/>
    <w:rsid w:val="00B204B1"/>
    <w:rsid w:val="00B22BDD"/>
    <w:rsid w:val="00B36BA7"/>
    <w:rsid w:val="00B46B49"/>
    <w:rsid w:val="00B64256"/>
    <w:rsid w:val="00B648FB"/>
    <w:rsid w:val="00BF3260"/>
    <w:rsid w:val="00C00A79"/>
    <w:rsid w:val="00C0379E"/>
    <w:rsid w:val="00C12D08"/>
    <w:rsid w:val="00C15BB2"/>
    <w:rsid w:val="00C20BC1"/>
    <w:rsid w:val="00C25901"/>
    <w:rsid w:val="00C3085C"/>
    <w:rsid w:val="00C353F7"/>
    <w:rsid w:val="00C450F3"/>
    <w:rsid w:val="00C4556F"/>
    <w:rsid w:val="00C46F43"/>
    <w:rsid w:val="00C80C48"/>
    <w:rsid w:val="00CA02FF"/>
    <w:rsid w:val="00CB7776"/>
    <w:rsid w:val="00CC0974"/>
    <w:rsid w:val="00CD535A"/>
    <w:rsid w:val="00CE7F77"/>
    <w:rsid w:val="00CF4599"/>
    <w:rsid w:val="00D05E7F"/>
    <w:rsid w:val="00D1521E"/>
    <w:rsid w:val="00D428D0"/>
    <w:rsid w:val="00D45E88"/>
    <w:rsid w:val="00D76B85"/>
    <w:rsid w:val="00D82344"/>
    <w:rsid w:val="00D91903"/>
    <w:rsid w:val="00DA0374"/>
    <w:rsid w:val="00DA21D7"/>
    <w:rsid w:val="00DD74BC"/>
    <w:rsid w:val="00DE1B66"/>
    <w:rsid w:val="00DE5B5E"/>
    <w:rsid w:val="00DF009F"/>
    <w:rsid w:val="00E10645"/>
    <w:rsid w:val="00E11A5D"/>
    <w:rsid w:val="00E31699"/>
    <w:rsid w:val="00E53D6B"/>
    <w:rsid w:val="00E54C7F"/>
    <w:rsid w:val="00E5581A"/>
    <w:rsid w:val="00E62054"/>
    <w:rsid w:val="00E64195"/>
    <w:rsid w:val="00E7435E"/>
    <w:rsid w:val="00E94EED"/>
    <w:rsid w:val="00E95264"/>
    <w:rsid w:val="00E954BC"/>
    <w:rsid w:val="00E95A25"/>
    <w:rsid w:val="00EA57B9"/>
    <w:rsid w:val="00EB1B29"/>
    <w:rsid w:val="00EB5A74"/>
    <w:rsid w:val="00EB72DE"/>
    <w:rsid w:val="00EC63B0"/>
    <w:rsid w:val="00EE0264"/>
    <w:rsid w:val="00EE57C5"/>
    <w:rsid w:val="00EE5EE3"/>
    <w:rsid w:val="00EF02DC"/>
    <w:rsid w:val="00F116B6"/>
    <w:rsid w:val="00F322B4"/>
    <w:rsid w:val="00F379A4"/>
    <w:rsid w:val="00F37EDD"/>
    <w:rsid w:val="00F40BC3"/>
    <w:rsid w:val="00F53E67"/>
    <w:rsid w:val="00F61755"/>
    <w:rsid w:val="00F74F82"/>
    <w:rsid w:val="00F93967"/>
    <w:rsid w:val="00FA2613"/>
    <w:rsid w:val="00FB3A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5DC4866B-A6CE-4AB5-9E94-EA1B0DC5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E7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BC3"/>
  </w:style>
  <w:style w:type="paragraph" w:styleId="llb">
    <w:name w:val="footer"/>
    <w:basedOn w:val="Norml"/>
    <w:link w:val="llbChar"/>
    <w:uiPriority w:val="99"/>
    <w:unhideWhenUsed/>
    <w:rsid w:val="00F4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BC3"/>
  </w:style>
  <w:style w:type="paragraph" w:styleId="Buborkszveg">
    <w:name w:val="Balloon Text"/>
    <w:basedOn w:val="Norml"/>
    <w:link w:val="BuborkszvegChar"/>
    <w:uiPriority w:val="99"/>
    <w:semiHidden/>
    <w:unhideWhenUsed/>
    <w:rsid w:val="00F40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0BC3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0D7E6F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6B4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6B4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46B49"/>
    <w:rPr>
      <w:vertAlign w:val="superscript"/>
    </w:rPr>
  </w:style>
  <w:style w:type="table" w:styleId="Rcsostblzat">
    <w:name w:val="Table Grid"/>
    <w:basedOn w:val="Normltblzat"/>
    <w:uiPriority w:val="59"/>
    <w:rsid w:val="0074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F18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18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18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18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18BB"/>
    <w:rPr>
      <w:b/>
      <w:bCs/>
      <w:sz w:val="20"/>
      <w:szCs w:val="20"/>
    </w:rPr>
  </w:style>
  <w:style w:type="character" w:customStyle="1" w:styleId="Cmsor4Char">
    <w:name w:val="Címsor 4 Char"/>
    <w:basedOn w:val="Bekezdsalapbettpusa"/>
    <w:link w:val="Cmsor4"/>
    <w:uiPriority w:val="9"/>
    <w:rsid w:val="00AE7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EB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7E1CC-BD55-40D1-8DE4-389C6F1B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Euro Information client principal</Company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Nikolett</dc:creator>
  <cp:lastModifiedBy>SZABO Arpad</cp:lastModifiedBy>
  <cp:revision>2</cp:revision>
  <cp:lastPrinted>2017-07-07T09:59:00Z</cp:lastPrinted>
  <dcterms:created xsi:type="dcterms:W3CDTF">2019-01-11T07:41:00Z</dcterms:created>
  <dcterms:modified xsi:type="dcterms:W3CDTF">2019-01-11T07:41:00Z</dcterms:modified>
</cp:coreProperties>
</file>